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18897D64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BD29C2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07CBE288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</w:t>
      </w:r>
      <w:r w:rsidR="003E2CCB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4</w:t>
      </w:r>
      <w:r w:rsidR="008069DD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 xml:space="preserve"> </w:t>
      </w: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 xml:space="preserve">on et droits des sûretés Zone </w:t>
      </w:r>
      <w:r w:rsidR="003E2CCB">
        <w:rPr>
          <w:rFonts w:ascii="Arial Narrow" w:hAnsi="Arial Narrow" w:cstheme="minorHAnsi"/>
          <w:bCs/>
          <w:sz w:val="24"/>
          <w:szCs w:val="24"/>
        </w:rPr>
        <w:t>Gers</w:t>
      </w:r>
      <w:r w:rsidR="00840AAA">
        <w:rPr>
          <w:rFonts w:ascii="Arial Narrow" w:hAnsi="Arial Narrow" w:cstheme="minorHAnsi"/>
          <w:bCs/>
          <w:sz w:val="24"/>
          <w:szCs w:val="24"/>
        </w:rPr>
        <w:t xml:space="preserve"> </w:t>
      </w:r>
      <w:r>
        <w:rPr>
          <w:rFonts w:ascii="Arial Narrow" w:hAnsi="Arial Narrow" w:cstheme="minorHAnsi"/>
          <w:bCs/>
          <w:sz w:val="24"/>
          <w:szCs w:val="24"/>
        </w:rPr>
        <w:t xml:space="preserve">ainsi que la Cour d’Appel </w:t>
      </w:r>
      <w:r w:rsidR="003E2CCB">
        <w:rPr>
          <w:rFonts w:ascii="Arial Narrow" w:hAnsi="Arial Narrow" w:cstheme="minorHAnsi"/>
          <w:bCs/>
          <w:sz w:val="24"/>
          <w:szCs w:val="24"/>
        </w:rPr>
        <w:t>d’Agen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3- PERTINENCE ET QUALITE DE LA METHODOLOGIE PROPOSEES POUR REALISER LA MISSION 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3.2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6C45F496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 xml:space="preserve">5-08 LOT </w:t>
    </w:r>
    <w:r w:rsidR="003E2CCB">
      <w:rPr>
        <w:rFonts w:ascii="Arial Narrow" w:hAnsi="Arial Narrow"/>
        <w:b/>
      </w:rPr>
      <w:t>4</w:t>
    </w:r>
    <w:r w:rsidR="00C07883">
      <w:rPr>
        <w:rFonts w:ascii="Arial Narrow" w:hAnsi="Arial Narrow"/>
        <w:b/>
      </w:rPr>
      <w:t>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4273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2CCB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C8F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069DD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0AAA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9C2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0EC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3</cp:revision>
  <cp:lastPrinted>2015-03-17T13:06:00Z</cp:lastPrinted>
  <dcterms:created xsi:type="dcterms:W3CDTF">2025-11-03T09:15:00Z</dcterms:created>
  <dcterms:modified xsi:type="dcterms:W3CDTF">2025-11-03T09:17:00Z</dcterms:modified>
</cp:coreProperties>
</file>